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9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>Додаток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9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</w:rPr>
        <w:t xml:space="preserve">до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Національного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положення (стандарту) бухгалтерського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обліку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в державному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секторі </w:t>
      </w:r>
      <w:r>
        <w:rPr>
          <w:color w:val="000000"/>
          <w:spacing w:val="0"/>
          <w:w w:val="100"/>
          <w:position w:val="0"/>
          <w:shd w:val="clear" w:color="auto" w:fill="auto"/>
        </w:rPr>
        <w:t xml:space="preserve">101 «Подання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фінансової звітності»</w:t>
      </w:r>
    </w:p>
    <w:tbl>
      <w:tblPr>
        <w:tblOverlap w:val="never"/>
        <w:jc w:val="center"/>
        <w:tblLayout w:type="fixed"/>
      </w:tblPr>
      <w:tblGrid>
        <w:gridCol w:w="2429"/>
        <w:gridCol w:w="4094"/>
        <w:gridCol w:w="1526"/>
        <w:gridCol w:w="710"/>
        <w:gridCol w:w="706"/>
        <w:gridCol w:w="715"/>
      </w:tblGrid>
      <w:tr>
        <w:trPr>
          <w:trHeight w:val="283" w:hRule="exact"/>
        </w:trPr>
        <w:tc>
          <w:tcPr>
            <w:vMerge w:val="restart"/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vMerge w:val="restart"/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2"/>
                <w:szCs w:val="12"/>
              </w:rPr>
            </w:pP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 xml:space="preserve">Дата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uk-UA" w:eastAsia="uk-UA" w:bidi="uk-UA"/>
              </w:rPr>
              <w:t xml:space="preserve">(рік, місяць, </w:t>
            </w:r>
            <w:r>
              <w:rPr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ru-RU" w:eastAsia="ru-RU" w:bidi="ru-RU"/>
              </w:rPr>
              <w:t>число)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КОДИ</w:t>
            </w:r>
          </w:p>
        </w:tc>
      </w:tr>
      <w:tr>
        <w:trPr>
          <w:trHeight w:val="283" w:hRule="exact"/>
        </w:trPr>
        <w:tc>
          <w:tcPr>
            <w:vMerge/>
            <w:tcBorders/>
            <w:shd w:val="clear" w:color="auto" w:fill="auto"/>
            <w:vAlign w:val="top"/>
          </w:tcPr>
          <w:p>
            <w:pPr/>
          </w:p>
        </w:tc>
        <w:tc>
          <w:tcPr>
            <w:gridSpan w:val="2"/>
            <w:vMerge/>
            <w:tcBorders/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04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01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Установа</w:t>
            </w:r>
          </w:p>
        </w:tc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Сумський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дошкільний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навчальний заклад (ясла- садок) №32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"Ластівка"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м.Суми,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Сумської області</w:t>
            </w:r>
          </w:p>
        </w:tc>
        <w:tc>
          <w:tcPr>
            <w:tcBorders/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за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ЄДРПОУ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21116571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Територія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Ковпаківський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КАТОТТГ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en-US" w:eastAsia="en-US" w:bidi="en-US"/>
              </w:rPr>
              <w:t>UA59080270010287243</w:t>
            </w:r>
          </w:p>
        </w:tc>
      </w:tr>
      <w:tr>
        <w:trPr>
          <w:trHeight w:val="485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Організаційно-правова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форма господарювання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Комунальна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організація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(установа, заклад)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КОПФГ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430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Орган державного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управління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 xml:space="preserve">Міністерство освіти і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науки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України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КОДУ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11085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Вид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економічної діяльності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Дошкільна освіта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 КВЕД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85.10</w:t>
            </w:r>
          </w:p>
        </w:tc>
      </w:tr>
    </w:tbl>
    <w:p>
      <w:pPr>
        <w:widowControl w:val="0"/>
        <w:spacing w:after="39" w:line="1" w:lineRule="exact"/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Одиниця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виміру: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грн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Періодичність: проміжна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</w:rPr>
        <w:t>БАЛАНС</w:t>
      </w:r>
      <w:bookmarkEnd w:id="0"/>
    </w:p>
    <w:p>
      <w:pPr>
        <w:pStyle w:val="Style15"/>
        <w:keepNext/>
        <w:keepLines/>
        <w:widowControl w:val="0"/>
        <w:shd w:val="clear" w:color="auto" w:fill="auto"/>
        <w:bidi w:val="0"/>
        <w:spacing w:before="0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</w:rPr>
        <w:t xml:space="preserve">на 01 </w: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 xml:space="preserve">квітня </w:t>
      </w:r>
      <w:r>
        <w:rPr>
          <w:color w:val="000000"/>
          <w:spacing w:val="0"/>
          <w:w w:val="100"/>
          <w:position w:val="0"/>
          <w:shd w:val="clear" w:color="auto" w:fill="auto"/>
        </w:rPr>
        <w:t>2023 року</w:t>
      </w:r>
      <w:bookmarkEnd w:id="2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266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</w:rPr>
        <w:t>Форма №1-дс</w:t>
      </w: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7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АКТИВ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9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На кінець звітного періоду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І. НЕФІНАНСОВІ АКТИВИ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Основні засоби: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1327067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1329878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первісна вартість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1829825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1836216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знос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502758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506338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Інвестиційна нерухомість: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первісна вартість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знос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Нематеріальні активи: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первісна вартість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накопичена амортизація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Незавершені капітальні інвестиції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Довгострокові біологічні активи: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первісна вартість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накопичена амортизація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1042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Запаси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32684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27828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Виробництво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Поточні біологічні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за розділом 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1359751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1357706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ІІ. ФІНАНСОВІ АКТИВИ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Довгострокова дебіторська заборгованість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Довгострокові фінансові інвестиції, у тому числі: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цінні папери, крім акцій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акції та інші форми участі в капіталі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Поточна дебіторська заборгованість: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з бюджетом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наданими кредитами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7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виданими авансами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1135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jc w:val="right"/>
        <w:rPr>
          <w:sz w:val="2"/>
          <w:szCs w:val="2"/>
        </w:rPr>
      </w:pPr>
      <w:r>
        <w:drawing>
          <wp:inline>
            <wp:extent cx="719455" cy="701040"/>
            <wp:docPr id="1" name="Picut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719455" cy="701040"/>
                    </a:xfrm>
                    <a:prstGeom prst="rect"/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із соціального страхування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інша поточна дебіторська заборгованість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1915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1915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Поточні фінансові інвестиції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національній валюті, у тому числі в: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12602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10948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касі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казначействі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12602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10948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установах банків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дорозі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іноземній валюті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Кошти бюджетів та інших клієнтів на: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єдиному казначейському рахунку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рахунках в установах банків, у тому числі в: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національній валюті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іноземній валюті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1177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фінансові активи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за розділом ІІ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14517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12863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ІІІ. ВИТРАТИ МАЙБУТНІХ ПЕРІОДІВ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1200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БАЛАНС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DCDCDC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1374268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1370569</w:t>
            </w:r>
          </w:p>
        </w:tc>
      </w:tr>
    </w:tbl>
    <w:p>
      <w:pPr>
        <w:widowControl w:val="0"/>
        <w:spacing w:after="279" w:line="1" w:lineRule="exact"/>
      </w:pPr>
    </w:p>
    <w:tbl>
      <w:tblPr>
        <w:tblOverlap w:val="never"/>
        <w:jc w:val="center"/>
        <w:tblLayout w:type="fixed"/>
      </w:tblPr>
      <w:tblGrid>
        <w:gridCol w:w="5242"/>
        <w:gridCol w:w="994"/>
        <w:gridCol w:w="1987"/>
        <w:gridCol w:w="1987"/>
      </w:tblGrid>
      <w:tr>
        <w:trPr>
          <w:trHeight w:val="7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ПАСИВ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4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Код рядка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На початок звітного періоду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uk-UA" w:eastAsia="uk-UA" w:bidi="uk-UA"/>
              </w:rPr>
              <w:t>На кінець звітного періоду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4</w:t>
            </w:r>
          </w:p>
        </w:tc>
      </w:tr>
      <w:tr>
        <w:trPr>
          <w:trHeight w:val="29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І. ВЛАСНИЙ КАПІТАЛ ТА ФІНАНСОВИЙ РЕЗУЛЬТАТ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Внесений капітал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1327067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1329878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Капітал у дооцінках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Фінансовий результат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15077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8567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Капітал у підприємствах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Резерви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Цільове фінансування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за розділом 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1495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1342144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1338445</w:t>
            </w:r>
          </w:p>
        </w:tc>
      </w:tr>
      <w:tr>
        <w:trPr>
          <w:trHeight w:val="293" w:hRule="exact"/>
        </w:trPr>
        <w:tc>
          <w:tcPr>
            <w:gridSpan w:val="4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II. ЗОБОВ'ЯЗАННЯ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Довгострокові зобов’язання: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цінними паперами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кредитами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довгострокові зобов’язання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Поточна заборгованість за довгостроковими зобов’язаннями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uk-UA" w:eastAsia="uk-UA" w:bidi="uk-UA"/>
              </w:rPr>
              <w:t>Поточні зобов’язання: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платежами до бюджету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за товари, роботи, послуги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1545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кредитами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одержаними авансами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з оплати праці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розрахунками із соціального страхування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внутрішніми розрахунками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інші поточні зобов’язання, з них: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32124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32124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за цінними паперами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1576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Усього за розділом ІІ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1595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32124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32124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ІІІ. ЗАБЕЗПЕЧЕННЯ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1600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8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uk-UA" w:eastAsia="uk-UA" w:bidi="uk-UA"/>
              </w:rPr>
              <w:t>-</w:t>
            </w:r>
          </w:p>
        </w:tc>
      </w:tr>
    </w:tbl>
    <w:p>
      <w:pPr>
        <w:widowControl w:val="0"/>
        <w:spacing w:after="159" w:line="1" w:lineRule="exact"/>
      </w:pPr>
    </w:p>
    <w:p>
      <w:pPr>
        <w:widowControl w:val="0"/>
        <w:jc w:val="right"/>
        <w:rPr>
          <w:sz w:val="2"/>
          <w:szCs w:val="2"/>
        </w:rPr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565" w:right="563" w:bottom="864" w:left="1127" w:header="137" w:footer="3" w:gutter="0"/>
          <w:pgNumType w:start="1"/>
          <w:cols w:space="720"/>
          <w:noEndnote/>
          <w:rtlGutter w:val="0"/>
          <w:docGrid w:linePitch="360"/>
        </w:sectPr>
      </w:pPr>
      <w:r>
        <w:drawing>
          <wp:inline>
            <wp:extent cx="719455" cy="701040"/>
            <wp:docPr id="5" name="Picut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719455" cy="7010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4232910</wp:posOffset>
                </wp:positionH>
                <wp:positionV relativeFrom="paragraph">
                  <wp:posOffset>12700</wp:posOffset>
                </wp:positionV>
                <wp:extent cx="262255" cy="164465"/>
                <wp:wrapSquare wrapText="bothSides"/>
                <wp:docPr id="6" name="Shape 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2255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1700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3.30000000000001pt;margin-top:1.pt;width:20.650000000000002pt;height:12.95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1700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70" w:right="7605" w:bottom="11856" w:left="1151" w:header="142" w:footer="3" w:gutter="0"/>
          <w:cols w:space="720"/>
          <w:noEndnote/>
          <w:rtlGutter w:val="0"/>
          <w:docGrid w:linePitch="360"/>
        </w:sectPr>
      </w:pP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IV. ДОХОДИ </w:t>
      </w:r>
      <w:r>
        <w:rPr>
          <w:b/>
          <w:bCs/>
          <w:i/>
          <w:i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МАЙБУТНІХ ПЕРІОДІВ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12700</wp:posOffset>
                </wp:positionV>
                <wp:extent cx="527050" cy="170815"/>
                <wp:wrapSquare wrapText="bothSides"/>
                <wp:docPr id="8" name="Shape 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270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uk-UA" w:eastAsia="uk-UA" w:bidi="uk-UA"/>
                              </w:rPr>
                              <w:t>БАЛАНС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57.800000000000004pt;margin-top:1.pt;width:41.5pt;height:13.450000000000001pt;z-index:-125829373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b/>
                          <w:b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uk-UA" w:eastAsia="uk-UA" w:bidi="uk-UA"/>
                        </w:rPr>
                        <w:t>БАЛАНС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1"/>
        <w:keepNext w:val="0"/>
        <w:keepLines w:val="0"/>
        <w:widowControl w:val="0"/>
        <w:shd w:val="clear" w:color="auto" w:fill="auto"/>
        <w:tabs>
          <w:tab w:pos="1968" w:val="left"/>
          <w:tab w:pos="3950" w:val="left"/>
        </w:tabs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607" w:bottom="11856" w:left="667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1800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1374268</w:t>
        <w:tab/>
        <w:t>1370569</w:t>
      </w:r>
    </w:p>
    <w:p>
      <w:pPr>
        <w:widowControl w:val="0"/>
        <w:spacing w:before="109" w:after="10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0" w:bottom="11856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4690110</wp:posOffset>
                </wp:positionH>
                <wp:positionV relativeFrom="paragraph">
                  <wp:posOffset>0</wp:posOffset>
                </wp:positionV>
                <wp:extent cx="875030" cy="164465"/>
                <wp:wrapSquare wrapText="bothSides"/>
                <wp:docPr id="10" name="Shape 1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75030" cy="1644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uk-UA" w:eastAsia="uk-UA" w:bidi="uk-UA"/>
                              </w:rPr>
                              <w:t xml:space="preserve">Віта </w:t>
                            </w: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ru-RU" w:eastAsia="ru-RU" w:bidi="ru-RU"/>
                              </w:rPr>
                              <w:t>ЖУЧКОВА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369.30000000000001pt;margin-top:0;width:68.900000000000006pt;height:12.950000000000001pt;z-index:-12582937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uk-UA" w:eastAsia="uk-UA" w:bidi="uk-UA"/>
                        </w:rPr>
                        <w:t xml:space="preserve">Віта </w:t>
                      </w: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ru-RU" w:eastAsia="ru-RU" w:bidi="ru-RU"/>
                        </w:rPr>
                        <w:t>ЖУЧКОВА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Керівник (посадова особа)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8071" w:bottom="11856" w:left="1156" w:header="0" w:footer="3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4" behindDoc="0" locked="0" layoutInCell="1" allowOverlap="1">
                <wp:simplePos x="0" y="0"/>
                <wp:positionH relativeFrom="page">
                  <wp:posOffset>4693285</wp:posOffset>
                </wp:positionH>
                <wp:positionV relativeFrom="paragraph">
                  <wp:posOffset>254000</wp:posOffset>
                </wp:positionV>
                <wp:extent cx="1261745" cy="170815"/>
                <wp:wrapSquare wrapText="bothSides"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61745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1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uk-UA" w:eastAsia="uk-UA" w:bidi="uk-UA"/>
                              </w:rPr>
                              <w:t>Світлана ОЛЕЙНІКОВА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69.55000000000001pt;margin-top:20.pt;width:99.350000000000009pt;height:13.450000000000001pt;z-index:-12582936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1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uk-UA" w:eastAsia="uk-UA" w:bidi="uk-UA"/>
                        </w:rPr>
                        <w:t>Світлана ОЛЕЙНІКОВА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uk-UA" w:eastAsia="uk-UA" w:bidi="uk-UA"/>
        </w:rPr>
        <w:t>Головний бухгалтер (спеціаліст, на якого покладено виконання обов’язків бухгалтерської служби)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89" w:after="8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70" w:right="0" w:bottom="652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6208395</wp:posOffset>
            </wp:positionH>
            <wp:positionV relativeFrom="paragraph">
              <wp:posOffset>12700</wp:posOffset>
            </wp:positionV>
            <wp:extent cx="719455" cy="719455"/>
            <wp:wrapNone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719455" cy="71945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after="412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70" w:right="607" w:bottom="652" w:left="1151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749300</wp:posOffset>
              </wp:positionH>
              <wp:positionV relativeFrom="page">
                <wp:posOffset>10215880</wp:posOffset>
              </wp:positionV>
              <wp:extent cx="6303010" cy="52070"/>
              <wp:wrapNone/>
              <wp:docPr id="2" name="Shape 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303010" cy="520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7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6048" w:val="right"/>
                              <w:tab w:pos="992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</w:rPr>
                            <w:t>202300000038249579</w:t>
                            <w:tab/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  <w:lang w:val="uk-UA" w:eastAsia="uk-UA" w:bidi="uk-UA"/>
                            </w:rPr>
                            <w:t xml:space="preserve">ІТНІСТЬ </w:t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9"/>
                              <w:szCs w:val="9"/>
                              <w:shd w:val="clear" w:color="auto" w:fill="auto"/>
                            </w:rPr>
                            <w:t>"</w:t>
                            <w:tab/>
                          </w:r>
                          <w:r>
                            <w:rPr>
                              <w:i/>
                              <w:iCs/>
                              <w:color w:val="D3D3D3"/>
                              <w:spacing w:val="0"/>
                              <w:w w:val="100"/>
                              <w:position w:val="0"/>
                              <w:sz w:val="12"/>
                              <w:szCs w:val="12"/>
                              <w:shd w:val="clear" w:color="auto" w:fill="auto"/>
                            </w:rPr>
                            <w:t xml:space="preserve">ст. </w:t>
                          </w:r>
                          <w:fldSimple w:instr=" PAGE \* MERGEFORMAT ">
                            <w:r>
                              <w:rPr>
                                <w:i/>
                                <w:iCs/>
                                <w:color w:val="D3D3D3"/>
                                <w:spacing w:val="0"/>
                                <w:w w:val="100"/>
                                <w:position w:val="0"/>
                                <w:sz w:val="12"/>
                                <w:szCs w:val="12"/>
                                <w:shd w:val="clear" w:color="auto" w:fill="auto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9.pt;margin-top:804.39999999999998pt;width:496.30000000000001pt;height:4.0999999999999996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7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048" w:val="right"/>
                        <w:tab w:pos="992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2"/>
                        <w:szCs w:val="12"/>
                      </w:rPr>
                    </w:pP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</w:rPr>
                      <w:t>202300000038249579</w:t>
                      <w:tab/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  <w:lang w:val="uk-UA" w:eastAsia="uk-UA" w:bidi="uk-UA"/>
                      </w:rPr>
                      <w:t xml:space="preserve">ІТНІСТЬ </w:t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9"/>
                        <w:szCs w:val="9"/>
                        <w:shd w:val="clear" w:color="auto" w:fill="auto"/>
                      </w:rPr>
                      <w:t>"</w:t>
                      <w:tab/>
                    </w:r>
                    <w:r>
                      <w:rPr>
                        <w:i/>
                        <w:iCs/>
                        <w:color w:val="D3D3D3"/>
                        <w:spacing w:val="0"/>
                        <w:w w:val="100"/>
                        <w:position w:val="0"/>
                        <w:sz w:val="12"/>
                        <w:szCs w:val="12"/>
                        <w:shd w:val="clear" w:color="auto" w:fill="auto"/>
                      </w:rPr>
                      <w:t xml:space="preserve">ст. </w:t>
                    </w:r>
                    <w:fldSimple w:instr=" PAGE \* MERGEFORMAT ">
                      <w:r>
                        <w:rPr>
                          <w:i/>
                          <w:iCs/>
                          <w:color w:val="D3D3D3"/>
                          <w:spacing w:val="0"/>
                          <w:w w:val="100"/>
                          <w:position w:val="0"/>
                          <w:sz w:val="12"/>
                          <w:szCs w:val="12"/>
                          <w:shd w:val="clear" w:color="auto" w:fill="auto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10153015</wp:posOffset>
              </wp:positionV>
              <wp:extent cx="6483350" cy="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48335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350000000000001pt;margin-top:799.45000000000005pt;width:510.5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default="1" w:styleId="DefaultParagraphFont">
    <w:name w:val="Default Paragraph Font"/>
    <w:rPr>
      <w:rFonts w:ascii="Courier New" w:eastAsia="Courier New" w:hAnsi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uk-UA" w:eastAsia="uk-UA" w:bidi="uk-UA"/>
    </w:rPr>
  </w:style>
  <w:style w:type="character" w:customStyle="1" w:styleId="CharStyle3">
    <w:name w:val="Подпись к таблице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character" w:customStyle="1" w:styleId="CharStyle5">
    <w:name w:val="Другое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8">
    <w:name w:val="Колонтитул (2)_"/>
    <w:basedOn w:val="DefaultParagraphFont"/>
    <w:link w:val="Styl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character" w:customStyle="1" w:styleId="CharStyle12">
    <w:name w:val="Основной текст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14">
    <w:name w:val="Заголовок №1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CharStyle16">
    <w:name w:val="Заголовок №2_"/>
    <w:basedOn w:val="DefaultParagraphFont"/>
    <w:link w:val="Style15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2">
    <w:name w:val="Подпись к таблице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  <w:lang w:val="ru-RU" w:eastAsia="ru-RU" w:bidi="ru-RU"/>
    </w:rPr>
  </w:style>
  <w:style w:type="paragraph" w:customStyle="1" w:styleId="Style4">
    <w:name w:val="Другое"/>
    <w:basedOn w:val="Normal"/>
    <w:link w:val="CharStyle5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7">
    <w:name w:val="Колонтитул (2)"/>
    <w:basedOn w:val="Normal"/>
    <w:link w:val="CharStyle8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ru-RU" w:eastAsia="ru-RU" w:bidi="ru-RU"/>
    </w:rPr>
  </w:style>
  <w:style w:type="paragraph" w:customStyle="1" w:styleId="Style11">
    <w:name w:val="Основной текст"/>
    <w:basedOn w:val="Normal"/>
    <w:link w:val="CharStyle12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auto"/>
      <w:spacing w:line="283" w:lineRule="auto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lang w:val="ru-RU" w:eastAsia="ru-RU" w:bidi="ru-RU"/>
    </w:rPr>
  </w:style>
  <w:style w:type="paragraph" w:customStyle="1" w:styleId="Style15">
    <w:name w:val="Заголовок №2"/>
    <w:basedOn w:val="Normal"/>
    <w:link w:val="CharStyle16"/>
    <w:pPr>
      <w:widowControl w:val="0"/>
      <w:shd w:val="clear" w:color="auto" w:fill="auto"/>
      <w:spacing w:after="240" w:line="283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  <w:lang w:val="ru-RU" w:eastAsia="ru-RU" w:bidi="ru-RU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Relationship Id="rId10" Type="http://schemas.openxmlformats.org/officeDocument/2006/relationships/image" Target="media/image3.jpeg"/><Relationship Id="rId11" Type="http://schemas.openxmlformats.org/officeDocument/2006/relationships/image" Target="media/image3.jpeg" TargetMode="External"/></Relationships>
</file>